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0D18" w:rsidRDefault="00F94BC3" w:rsidP="00D51286">
      <w:pPr>
        <w:pStyle w:val="IQB-Aufgabentitel"/>
        <w:spacing w:after="120"/>
        <w:rPr>
          <w:rFonts w:cs="Arial"/>
          <w:szCs w:val="28"/>
        </w:rPr>
      </w:pPr>
      <w:r w:rsidRPr="00D51286">
        <w:rPr>
          <w:rFonts w:cs="Arial"/>
          <w:szCs w:val="28"/>
        </w:rPr>
        <w:t xml:space="preserve">Didaktische </w:t>
      </w:r>
      <w:r w:rsidR="009B01D9">
        <w:rPr>
          <w:rFonts w:cs="Arial"/>
          <w:szCs w:val="28"/>
        </w:rPr>
        <w:t>Kommentierung</w:t>
      </w:r>
      <w:bookmarkStart w:id="0" w:name="_GoBack"/>
      <w:bookmarkEnd w:id="0"/>
      <w:r w:rsidRPr="00D51286">
        <w:rPr>
          <w:rFonts w:cs="Arial"/>
          <w:szCs w:val="28"/>
        </w:rPr>
        <w:t xml:space="preserve">: </w:t>
      </w:r>
      <w:r w:rsidR="00D51286" w:rsidRPr="00D51286">
        <w:rPr>
          <w:rFonts w:cs="Arial"/>
          <w:szCs w:val="28"/>
        </w:rPr>
        <w:t>Aufgabe</w:t>
      </w:r>
      <w:r w:rsidRPr="00D51286">
        <w:rPr>
          <w:rFonts w:cs="Arial"/>
          <w:szCs w:val="28"/>
        </w:rPr>
        <w:t xml:space="preserve"> </w:t>
      </w:r>
      <w:r w:rsidR="00D51286" w:rsidRPr="00D51286">
        <w:rPr>
          <w:rFonts w:cs="Arial"/>
          <w:szCs w:val="28"/>
        </w:rPr>
        <w:t>Zahlenkarten ziehen</w:t>
      </w:r>
    </w:p>
    <w:p w:rsidR="00D51286" w:rsidRPr="00D51286" w:rsidRDefault="00D51286" w:rsidP="00D51286">
      <w:pPr>
        <w:pStyle w:val="IQB-Aufgabentitel"/>
        <w:spacing w:after="120"/>
        <w:rPr>
          <w:rFonts w:cs="Arial"/>
          <w:sz w:val="22"/>
          <w:szCs w:val="22"/>
        </w:rPr>
      </w:pPr>
    </w:p>
    <w:p w:rsidR="00F94BC3" w:rsidRPr="00D51286" w:rsidRDefault="00F94BC3" w:rsidP="00D51286">
      <w:pPr>
        <w:pStyle w:val="IQB-Aufgabentitel"/>
        <w:spacing w:after="120"/>
        <w:rPr>
          <w:rFonts w:cs="Arial"/>
          <w:b/>
          <w:sz w:val="22"/>
          <w:szCs w:val="22"/>
        </w:rPr>
      </w:pPr>
      <w:r w:rsidRPr="00D51286">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9F0D18" w:rsidRPr="00D51286">
        <w:tc>
          <w:tcPr>
            <w:tcW w:w="2040" w:type="dxa"/>
            <w:vAlign w:val="center"/>
          </w:tcPr>
          <w:p w:rsidR="009F0D18" w:rsidRPr="00D51286" w:rsidRDefault="00D51286" w:rsidP="00D51286">
            <w:pPr>
              <w:pStyle w:val="IQB-Merkmal"/>
              <w:spacing w:before="0" w:after="120"/>
              <w:rPr>
                <w:rFonts w:cs="Arial"/>
                <w:sz w:val="20"/>
                <w:szCs w:val="20"/>
              </w:rPr>
            </w:pPr>
            <w:r w:rsidRPr="00D51286">
              <w:rPr>
                <w:rFonts w:cs="Arial"/>
                <w:sz w:val="20"/>
                <w:szCs w:val="20"/>
              </w:rPr>
              <w:t>Leitidee</w:t>
            </w:r>
          </w:p>
        </w:tc>
        <w:tc>
          <w:tcPr>
            <w:tcW w:w="7086" w:type="dxa"/>
          </w:tcPr>
          <w:p w:rsidR="009F0D18" w:rsidRPr="00D51286" w:rsidRDefault="00D51286" w:rsidP="00D51286">
            <w:pPr>
              <w:pStyle w:val="IQB-Merkmalswert"/>
              <w:spacing w:before="0" w:after="120"/>
              <w:rPr>
                <w:rFonts w:cs="Arial"/>
                <w:sz w:val="20"/>
                <w:szCs w:val="20"/>
              </w:rPr>
            </w:pPr>
            <w:r w:rsidRPr="00D51286">
              <w:rPr>
                <w:rFonts w:cs="Arial"/>
                <w:sz w:val="20"/>
                <w:szCs w:val="20"/>
              </w:rPr>
              <w:t>Daten, Häufigkeit und Wahrscheinlichkeit</w:t>
            </w:r>
          </w:p>
        </w:tc>
      </w:tr>
      <w:tr w:rsidR="009F0D18" w:rsidRPr="00D51286">
        <w:tc>
          <w:tcPr>
            <w:tcW w:w="2040" w:type="dxa"/>
            <w:vAlign w:val="center"/>
          </w:tcPr>
          <w:p w:rsidR="009F0D18" w:rsidRPr="00D51286" w:rsidRDefault="00D51286" w:rsidP="00D51286">
            <w:pPr>
              <w:pStyle w:val="IQB-Merkmal"/>
              <w:spacing w:before="0" w:after="120"/>
              <w:rPr>
                <w:rFonts w:cs="Arial"/>
                <w:sz w:val="20"/>
                <w:szCs w:val="20"/>
              </w:rPr>
            </w:pPr>
            <w:r w:rsidRPr="00D51286">
              <w:rPr>
                <w:rFonts w:cs="Arial"/>
                <w:sz w:val="20"/>
                <w:szCs w:val="20"/>
              </w:rPr>
              <w:t xml:space="preserve">Kompetenzbereich </w:t>
            </w:r>
            <w:proofErr w:type="spellStart"/>
            <w:r w:rsidRPr="00D51286">
              <w:rPr>
                <w:rFonts w:cs="Arial"/>
                <w:sz w:val="20"/>
                <w:szCs w:val="20"/>
              </w:rPr>
              <w:t>MaP</w:t>
            </w:r>
            <w:proofErr w:type="spellEnd"/>
            <w:r w:rsidRPr="00D51286">
              <w:rPr>
                <w:rFonts w:cs="Arial"/>
                <w:sz w:val="20"/>
                <w:szCs w:val="20"/>
              </w:rPr>
              <w:t xml:space="preserve"> sekundär (Leitidee)</w:t>
            </w:r>
          </w:p>
        </w:tc>
        <w:tc>
          <w:tcPr>
            <w:tcW w:w="7086" w:type="dxa"/>
          </w:tcPr>
          <w:p w:rsidR="009F0D18" w:rsidRPr="00D51286" w:rsidRDefault="00D51286" w:rsidP="00D51286">
            <w:pPr>
              <w:pStyle w:val="IQB-Merkmalswert"/>
              <w:spacing w:before="0" w:after="120"/>
              <w:rPr>
                <w:rFonts w:cs="Arial"/>
                <w:sz w:val="20"/>
                <w:szCs w:val="20"/>
              </w:rPr>
            </w:pPr>
            <w:r w:rsidRPr="00D51286">
              <w:rPr>
                <w:rFonts w:cs="Arial"/>
                <w:sz w:val="20"/>
                <w:szCs w:val="20"/>
              </w:rPr>
              <w:t>Zahlen und Operationen</w:t>
            </w:r>
          </w:p>
        </w:tc>
      </w:tr>
      <w:tr w:rsidR="009F0D18" w:rsidRPr="00D51286">
        <w:tc>
          <w:tcPr>
            <w:tcW w:w="2040" w:type="dxa"/>
            <w:vAlign w:val="center"/>
          </w:tcPr>
          <w:p w:rsidR="009F0D18" w:rsidRPr="00D51286" w:rsidRDefault="00D51286" w:rsidP="00D51286">
            <w:pPr>
              <w:pStyle w:val="IQB-Merkmal"/>
              <w:spacing w:before="0" w:after="120"/>
              <w:rPr>
                <w:rFonts w:cs="Arial"/>
                <w:sz w:val="20"/>
                <w:szCs w:val="20"/>
              </w:rPr>
            </w:pPr>
            <w:r w:rsidRPr="00D51286">
              <w:rPr>
                <w:rFonts w:cs="Arial"/>
                <w:sz w:val="20"/>
                <w:szCs w:val="20"/>
              </w:rPr>
              <w:t>Bildungsstandard/s - Allgemeine Kompetenzen</w:t>
            </w:r>
          </w:p>
        </w:tc>
        <w:tc>
          <w:tcPr>
            <w:tcW w:w="7086" w:type="dxa"/>
          </w:tcPr>
          <w:p w:rsidR="009F0D18" w:rsidRPr="00D51286" w:rsidRDefault="00D51286" w:rsidP="00D51286">
            <w:pPr>
              <w:pStyle w:val="IQB-Merkmalswert"/>
              <w:spacing w:before="0" w:after="120"/>
              <w:rPr>
                <w:rFonts w:cs="Arial"/>
                <w:sz w:val="20"/>
                <w:szCs w:val="20"/>
              </w:rPr>
            </w:pPr>
            <w:r w:rsidRPr="00D51286">
              <w:rPr>
                <w:rFonts w:cs="Arial"/>
                <w:sz w:val="20"/>
                <w:szCs w:val="20"/>
              </w:rPr>
              <w:t>mathematische Aussagen hinterfragen und auf Korrektheit prüfen</w:t>
            </w:r>
          </w:p>
        </w:tc>
      </w:tr>
      <w:tr w:rsidR="009F0D18" w:rsidRPr="00D51286">
        <w:tc>
          <w:tcPr>
            <w:tcW w:w="2040" w:type="dxa"/>
            <w:vAlign w:val="center"/>
          </w:tcPr>
          <w:p w:rsidR="009F0D18" w:rsidRPr="00D51286" w:rsidRDefault="00D51286" w:rsidP="00D51286">
            <w:pPr>
              <w:pStyle w:val="IQB-Merkmal"/>
              <w:spacing w:before="0" w:after="120"/>
              <w:rPr>
                <w:rFonts w:cs="Arial"/>
                <w:sz w:val="20"/>
                <w:szCs w:val="20"/>
              </w:rPr>
            </w:pPr>
            <w:r w:rsidRPr="00D51286">
              <w:rPr>
                <w:rFonts w:cs="Arial"/>
                <w:sz w:val="20"/>
                <w:szCs w:val="20"/>
              </w:rPr>
              <w:t>Bildungsstandard/s - Inhaltsbezogene Kompetenzen (Leitideen)</w:t>
            </w:r>
          </w:p>
        </w:tc>
        <w:tc>
          <w:tcPr>
            <w:tcW w:w="7086" w:type="dxa"/>
          </w:tcPr>
          <w:p w:rsidR="009F0D18" w:rsidRPr="00D51286" w:rsidRDefault="00D51286" w:rsidP="00D51286">
            <w:pPr>
              <w:pStyle w:val="IQB-Merkmalswert"/>
              <w:spacing w:before="0" w:after="120"/>
              <w:rPr>
                <w:rFonts w:cs="Arial"/>
                <w:sz w:val="20"/>
                <w:szCs w:val="20"/>
              </w:rPr>
            </w:pPr>
            <w:r w:rsidRPr="00D51286">
              <w:rPr>
                <w:rFonts w:cs="Arial"/>
                <w:sz w:val="20"/>
                <w:szCs w:val="20"/>
              </w:rPr>
              <w:t>die vier Grundrechenarten und ihre Zusammenhänge verstehen; Grundbegriffe kennen (z. B. sicher, unmöglich, wahrscheinlich)</w:t>
            </w:r>
          </w:p>
        </w:tc>
      </w:tr>
      <w:tr w:rsidR="009F0D18" w:rsidRPr="00D51286">
        <w:tc>
          <w:tcPr>
            <w:tcW w:w="2040" w:type="dxa"/>
            <w:vAlign w:val="center"/>
          </w:tcPr>
          <w:p w:rsidR="009F0D18" w:rsidRPr="00D51286" w:rsidRDefault="00D51286" w:rsidP="00D51286">
            <w:pPr>
              <w:pStyle w:val="IQB-Merkmal"/>
              <w:spacing w:before="0" w:after="120"/>
              <w:rPr>
                <w:rFonts w:cs="Arial"/>
                <w:sz w:val="20"/>
                <w:szCs w:val="20"/>
              </w:rPr>
            </w:pPr>
            <w:r w:rsidRPr="00D51286">
              <w:rPr>
                <w:rFonts w:cs="Arial"/>
                <w:sz w:val="20"/>
                <w:szCs w:val="20"/>
              </w:rPr>
              <w:t>Kompetenzstufe</w:t>
            </w:r>
          </w:p>
        </w:tc>
        <w:tc>
          <w:tcPr>
            <w:tcW w:w="7086" w:type="dxa"/>
          </w:tcPr>
          <w:p w:rsidR="009F0D18" w:rsidRPr="00D51286" w:rsidRDefault="00D51286" w:rsidP="00D51286">
            <w:pPr>
              <w:pStyle w:val="IQB-Merkmalswert"/>
              <w:spacing w:before="0" w:after="120"/>
              <w:rPr>
                <w:rFonts w:cs="Arial"/>
                <w:sz w:val="20"/>
                <w:szCs w:val="20"/>
              </w:rPr>
            </w:pPr>
            <w:r w:rsidRPr="00D51286">
              <w:rPr>
                <w:rFonts w:cs="Arial"/>
                <w:sz w:val="20"/>
                <w:szCs w:val="20"/>
              </w:rPr>
              <w:t>V</w:t>
            </w:r>
          </w:p>
        </w:tc>
      </w:tr>
      <w:tr w:rsidR="009F0D18" w:rsidRPr="00D51286">
        <w:tc>
          <w:tcPr>
            <w:tcW w:w="2040" w:type="dxa"/>
            <w:vAlign w:val="center"/>
          </w:tcPr>
          <w:p w:rsidR="009F0D18" w:rsidRPr="00D51286" w:rsidRDefault="00D51286" w:rsidP="00D51286">
            <w:pPr>
              <w:pStyle w:val="IQB-Merkmal"/>
              <w:spacing w:before="0" w:after="120"/>
              <w:rPr>
                <w:rFonts w:cs="Arial"/>
                <w:sz w:val="20"/>
                <w:szCs w:val="20"/>
              </w:rPr>
            </w:pPr>
            <w:r w:rsidRPr="00D51286">
              <w:rPr>
                <w:rFonts w:cs="Arial"/>
                <w:sz w:val="20"/>
                <w:szCs w:val="20"/>
              </w:rPr>
              <w:t>Anforderungsbereich</w:t>
            </w:r>
          </w:p>
        </w:tc>
        <w:tc>
          <w:tcPr>
            <w:tcW w:w="7086" w:type="dxa"/>
          </w:tcPr>
          <w:p w:rsidR="009F0D18" w:rsidRPr="00D51286" w:rsidRDefault="00D51286" w:rsidP="00D51286">
            <w:pPr>
              <w:pStyle w:val="IQB-Merkmalswert"/>
              <w:spacing w:before="0" w:after="120"/>
              <w:rPr>
                <w:rFonts w:cs="Arial"/>
                <w:sz w:val="20"/>
                <w:szCs w:val="20"/>
              </w:rPr>
            </w:pPr>
            <w:r w:rsidRPr="00D51286">
              <w:rPr>
                <w:rFonts w:cs="Arial"/>
                <w:sz w:val="20"/>
                <w:szCs w:val="20"/>
              </w:rPr>
              <w:t>Verallgemeinern und Reflektieren (III)</w:t>
            </w:r>
          </w:p>
        </w:tc>
      </w:tr>
    </w:tbl>
    <w:p w:rsidR="00D51286" w:rsidRPr="00D51286" w:rsidRDefault="00D51286" w:rsidP="00D51286">
      <w:pPr>
        <w:spacing w:after="120"/>
        <w:rPr>
          <w:rFonts w:ascii="Arial" w:hAnsi="Arial" w:cs="Arial"/>
          <w:sz w:val="22"/>
          <w:szCs w:val="22"/>
        </w:rPr>
      </w:pPr>
    </w:p>
    <w:p w:rsidR="00D51286" w:rsidRPr="00D51286" w:rsidRDefault="00D51286" w:rsidP="00D51286">
      <w:pPr>
        <w:spacing w:after="120"/>
        <w:rPr>
          <w:rFonts w:ascii="Arial" w:hAnsi="Arial" w:cs="Arial"/>
          <w:b/>
          <w:sz w:val="22"/>
          <w:szCs w:val="22"/>
        </w:rPr>
      </w:pPr>
      <w:r w:rsidRPr="00D51286">
        <w:rPr>
          <w:rFonts w:ascii="Arial" w:hAnsi="Arial" w:cs="Arial"/>
          <w:b/>
          <w:sz w:val="22"/>
          <w:szCs w:val="22"/>
        </w:rPr>
        <w:t>Aufgabenbezogener Kommentar</w:t>
      </w:r>
    </w:p>
    <w:p w:rsidR="008844F3" w:rsidRPr="00D51286" w:rsidRDefault="00D51286" w:rsidP="00D51286">
      <w:pPr>
        <w:spacing w:after="120"/>
        <w:rPr>
          <w:rFonts w:ascii="Arial" w:hAnsi="Arial" w:cs="Arial"/>
          <w:sz w:val="22"/>
          <w:szCs w:val="22"/>
        </w:rPr>
      </w:pPr>
      <w:r w:rsidRPr="00D51286">
        <w:rPr>
          <w:rFonts w:ascii="Arial" w:hAnsi="Arial" w:cs="Arial"/>
          <w:sz w:val="22"/>
          <w:szCs w:val="22"/>
        </w:rPr>
        <w:t>In dieser Aufgabenstellung wird im Zusammenhang mit sehr einfachen Zahlbeziehungen überprüft, ob das Kind die mathematischen Fachbegriffe sicher/möglich, aber nicht sicher/unmöglich modellieren und dann damit in einer einfachen Form Eintrittswahrscheinlichkeiten mathematisch korrekt bestimmen kann. Zusätzlich werden kombinatorische Fähigkeiten verlangt. Der kombinatorische Aspekt erfordert hier nicht konkretes Handeln, sondern muss in einem Gedankenexperiment durchgeführt werden.</w:t>
      </w:r>
    </w:p>
    <w:sectPr w:rsidR="008844F3" w:rsidRPr="00D5128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286" w:rsidRDefault="00D51286" w:rsidP="00D51286">
      <w:r>
        <w:separator/>
      </w:r>
    </w:p>
  </w:endnote>
  <w:endnote w:type="continuationSeparator" w:id="0">
    <w:p w:rsidR="00D51286" w:rsidRDefault="00D51286" w:rsidP="00D5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286" w:rsidRDefault="00D512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286" w:rsidRDefault="00D512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286" w:rsidRDefault="00D512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286" w:rsidRDefault="00D51286" w:rsidP="00D51286">
      <w:r>
        <w:separator/>
      </w:r>
    </w:p>
  </w:footnote>
  <w:footnote w:type="continuationSeparator" w:id="0">
    <w:p w:rsidR="00D51286" w:rsidRDefault="00D51286" w:rsidP="00D51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286" w:rsidRDefault="00D512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286" w:rsidRDefault="00D51286">
    <w:pPr>
      <w:pStyle w:val="Kopfzeile"/>
    </w:pPr>
    <w:r>
      <w:rPr>
        <w:noProof/>
      </w:rPr>
      <w:drawing>
        <wp:inline distT="0" distB="0" distL="0" distR="0" wp14:anchorId="021BAEA1" wp14:editId="57A31F94">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286" w:rsidRDefault="00D512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44F3"/>
    <w:rsid w:val="0088770C"/>
    <w:rsid w:val="009B01D9"/>
    <w:rsid w:val="009C47FB"/>
    <w:rsid w:val="009D5014"/>
    <w:rsid w:val="009E4A36"/>
    <w:rsid w:val="009F0D18"/>
    <w:rsid w:val="00A13FB9"/>
    <w:rsid w:val="00A25A42"/>
    <w:rsid w:val="00A47EC4"/>
    <w:rsid w:val="00A95DDE"/>
    <w:rsid w:val="00AB17D0"/>
    <w:rsid w:val="00B8136A"/>
    <w:rsid w:val="00C2385F"/>
    <w:rsid w:val="00C7686A"/>
    <w:rsid w:val="00CF32DF"/>
    <w:rsid w:val="00D44C7A"/>
    <w:rsid w:val="00D462AA"/>
    <w:rsid w:val="00D51286"/>
    <w:rsid w:val="00F0154F"/>
    <w:rsid w:val="00F94BC3"/>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AFDC7"/>
  <w15:docId w15:val="{20F59DE9-1966-43F1-8DA4-7B9FCB141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51286"/>
    <w:pPr>
      <w:tabs>
        <w:tab w:val="center" w:pos="4536"/>
        <w:tab w:val="right" w:pos="9072"/>
      </w:tabs>
    </w:pPr>
  </w:style>
  <w:style w:type="character" w:customStyle="1" w:styleId="KopfzeileZchn">
    <w:name w:val="Kopfzeile Zchn"/>
    <w:basedOn w:val="Absatz-Standardschriftart"/>
    <w:link w:val="Kopfzeile"/>
    <w:rsid w:val="00D51286"/>
    <w:rPr>
      <w:sz w:val="24"/>
      <w:szCs w:val="24"/>
    </w:rPr>
  </w:style>
  <w:style w:type="paragraph" w:styleId="Fuzeile">
    <w:name w:val="footer"/>
    <w:basedOn w:val="Standard"/>
    <w:link w:val="FuzeileZchn"/>
    <w:unhideWhenUsed/>
    <w:rsid w:val="00D51286"/>
    <w:pPr>
      <w:tabs>
        <w:tab w:val="center" w:pos="4536"/>
        <w:tab w:val="right" w:pos="9072"/>
      </w:tabs>
    </w:pPr>
  </w:style>
  <w:style w:type="character" w:customStyle="1" w:styleId="FuzeileZchn">
    <w:name w:val="Fußzeile Zchn"/>
    <w:basedOn w:val="Absatz-Standardschriftart"/>
    <w:link w:val="Fuzeile"/>
    <w:rsid w:val="00D512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927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